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DC4C" w14:textId="165051D8" w:rsidR="00C91527" w:rsidRDefault="001A1E0E">
      <w:r>
        <w:rPr>
          <w:noProof/>
        </w:rPr>
        <w:drawing>
          <wp:inline distT="0" distB="0" distL="0" distR="0" wp14:anchorId="526F4B1C" wp14:editId="45B89D6E">
            <wp:extent cx="7233267" cy="2432050"/>
            <wp:effectExtent l="0" t="0" r="6350" b="6350"/>
            <wp:docPr id="71636350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63501" name="Bildobjekt 7163635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1092" cy="244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9B08B" w14:textId="77777777" w:rsidR="001A1E0E" w:rsidRDefault="001A1E0E" w:rsidP="001A1E0E">
      <w:pPr>
        <w:jc w:val="center"/>
        <w:rPr>
          <w:b/>
          <w:bCs/>
          <w:sz w:val="44"/>
          <w:szCs w:val="44"/>
          <w:lang w:val="en-GB"/>
        </w:rPr>
      </w:pPr>
      <w:r w:rsidRPr="001A1E0E">
        <w:rPr>
          <w:b/>
          <w:bCs/>
          <w:sz w:val="44"/>
          <w:szCs w:val="44"/>
          <w:lang w:val="en-GB"/>
        </w:rPr>
        <w:t>School of Geological Disposal</w:t>
      </w:r>
    </w:p>
    <w:p w14:paraId="7A8C4402" w14:textId="3A20FBCB" w:rsidR="001A1E0E" w:rsidRPr="00011BE2" w:rsidRDefault="00C87830" w:rsidP="001A1E0E">
      <w:pPr>
        <w:jc w:val="center"/>
        <w:rPr>
          <w:i/>
          <w:iCs/>
          <w:sz w:val="32"/>
          <w:szCs w:val="32"/>
          <w:lang w:val="en-GB"/>
        </w:rPr>
      </w:pPr>
      <w:r w:rsidRPr="00C87830">
        <w:rPr>
          <w:b/>
          <w:bCs/>
          <w:sz w:val="44"/>
          <w:szCs w:val="44"/>
          <w:lang w:val="en-US"/>
        </w:rPr>
        <w:t xml:space="preserve">Strategies and communication for </w:t>
      </w:r>
      <w:r w:rsidR="007820A9" w:rsidRPr="00C87830">
        <w:rPr>
          <w:b/>
          <w:bCs/>
          <w:sz w:val="44"/>
          <w:szCs w:val="44"/>
          <w:lang w:val="en-US"/>
        </w:rPr>
        <w:t>consent-based</w:t>
      </w:r>
      <w:r w:rsidRPr="00C87830">
        <w:rPr>
          <w:b/>
          <w:bCs/>
          <w:sz w:val="44"/>
          <w:szCs w:val="44"/>
          <w:lang w:val="en-US"/>
        </w:rPr>
        <w:t xml:space="preserve"> siting</w:t>
      </w:r>
      <w:r w:rsidRPr="00C87830">
        <w:rPr>
          <w:b/>
          <w:bCs/>
          <w:sz w:val="44"/>
          <w:szCs w:val="44"/>
          <w:lang w:val="en-US"/>
        </w:rPr>
        <w:br/>
      </w:r>
      <w:r w:rsidR="001A1E0E" w:rsidRPr="00011BE2">
        <w:rPr>
          <w:i/>
          <w:iCs/>
          <w:sz w:val="32"/>
          <w:szCs w:val="32"/>
          <w:lang w:val="en-GB"/>
        </w:rPr>
        <w:t xml:space="preserve">From resistance to resonance: Communicating nuclear </w:t>
      </w:r>
      <w:r>
        <w:rPr>
          <w:i/>
          <w:iCs/>
          <w:sz w:val="32"/>
          <w:szCs w:val="32"/>
          <w:lang w:val="en-GB"/>
        </w:rPr>
        <w:br/>
      </w:r>
      <w:r w:rsidR="001A1E0E" w:rsidRPr="00011BE2">
        <w:rPr>
          <w:i/>
          <w:iCs/>
          <w:sz w:val="32"/>
          <w:szCs w:val="32"/>
          <w:lang w:val="en-GB"/>
        </w:rPr>
        <w:t>waste management over f</w:t>
      </w:r>
      <w:r w:rsidR="002F3C90">
        <w:rPr>
          <w:i/>
          <w:iCs/>
          <w:sz w:val="32"/>
          <w:szCs w:val="32"/>
          <w:lang w:val="en-GB"/>
        </w:rPr>
        <w:t>ive</w:t>
      </w:r>
      <w:r w:rsidR="001A1E0E" w:rsidRPr="00011BE2">
        <w:rPr>
          <w:i/>
          <w:iCs/>
          <w:sz w:val="32"/>
          <w:szCs w:val="32"/>
          <w:lang w:val="en-GB"/>
        </w:rPr>
        <w:t xml:space="preserve"> decades</w:t>
      </w:r>
    </w:p>
    <w:p w14:paraId="7E0B8EF0" w14:textId="74E919BC" w:rsidR="00011BE2" w:rsidRPr="00011BE2" w:rsidRDefault="00011BE2" w:rsidP="00A33C0D">
      <w:pPr>
        <w:ind w:left="283" w:right="397"/>
        <w:jc w:val="center"/>
        <w:rPr>
          <w:sz w:val="24"/>
          <w:szCs w:val="24"/>
          <w:lang w:val="en-US"/>
        </w:rPr>
      </w:pPr>
      <w:r w:rsidRPr="00011BE2">
        <w:rPr>
          <w:sz w:val="24"/>
          <w:szCs w:val="24"/>
          <w:lang w:val="en-US"/>
        </w:rPr>
        <w:t xml:space="preserve">This course offers a unique opportunity to learn how SKB’s have strategically built public trust </w:t>
      </w:r>
      <w:r w:rsidR="003F2580">
        <w:rPr>
          <w:sz w:val="24"/>
          <w:szCs w:val="24"/>
          <w:lang w:val="en-US"/>
        </w:rPr>
        <w:br/>
      </w:r>
      <w:r w:rsidRPr="00011BE2">
        <w:rPr>
          <w:sz w:val="24"/>
          <w:szCs w:val="24"/>
          <w:lang w:val="en-US"/>
        </w:rPr>
        <w:t>around one of Sweden’s most complex and long</w:t>
      </w:r>
      <w:r w:rsidRPr="00011BE2">
        <w:rPr>
          <w:sz w:val="24"/>
          <w:szCs w:val="24"/>
          <w:lang w:val="en-US"/>
        </w:rPr>
        <w:noBreakHyphen/>
        <w:t xml:space="preserve">term societal challenges  </w:t>
      </w:r>
      <w:r w:rsidRPr="00011BE2">
        <w:rPr>
          <w:sz w:val="24"/>
          <w:szCs w:val="24"/>
          <w:lang w:val="en-US"/>
        </w:rPr>
        <w:br/>
        <w:t>- the management of nuclear waste.</w:t>
      </w:r>
    </w:p>
    <w:p w14:paraId="1C7779FC" w14:textId="4448FE88" w:rsidR="00011BE2" w:rsidRPr="00011BE2" w:rsidRDefault="00011BE2" w:rsidP="00A33C0D">
      <w:pPr>
        <w:ind w:left="283" w:right="397"/>
        <w:jc w:val="center"/>
        <w:rPr>
          <w:sz w:val="24"/>
          <w:szCs w:val="24"/>
          <w:lang w:val="en-US"/>
        </w:rPr>
      </w:pPr>
      <w:r w:rsidRPr="00011BE2">
        <w:rPr>
          <w:sz w:val="24"/>
          <w:szCs w:val="24"/>
          <w:lang w:val="en-US"/>
        </w:rPr>
        <w:t xml:space="preserve">Gain insight into SKB’s siting process and communication journey, from the early studies in the 1970s through the </w:t>
      </w:r>
      <w:r w:rsidR="00AC4952">
        <w:rPr>
          <w:sz w:val="24"/>
          <w:szCs w:val="24"/>
          <w:lang w:val="en-US"/>
        </w:rPr>
        <w:t xml:space="preserve">study sites, </w:t>
      </w:r>
      <w:r w:rsidRPr="00011BE2">
        <w:rPr>
          <w:sz w:val="24"/>
          <w:szCs w:val="24"/>
          <w:lang w:val="en-US"/>
        </w:rPr>
        <w:t>feasibility studies, site investigations</w:t>
      </w:r>
      <w:r w:rsidR="00C87830">
        <w:rPr>
          <w:sz w:val="24"/>
          <w:szCs w:val="24"/>
          <w:lang w:val="en-US"/>
        </w:rPr>
        <w:t>, licensing</w:t>
      </w:r>
      <w:r w:rsidRPr="00011BE2">
        <w:rPr>
          <w:sz w:val="24"/>
          <w:szCs w:val="24"/>
          <w:lang w:val="en-US"/>
        </w:rPr>
        <w:t xml:space="preserve"> and forward to today. Discover the strategies, decision-making processes and engagement methods that helped transform </w:t>
      </w:r>
      <w:r w:rsidR="003F2580">
        <w:rPr>
          <w:sz w:val="24"/>
          <w:szCs w:val="24"/>
          <w:lang w:val="en-US"/>
        </w:rPr>
        <w:br/>
      </w:r>
      <w:r w:rsidRPr="00011BE2">
        <w:rPr>
          <w:sz w:val="24"/>
          <w:szCs w:val="24"/>
          <w:lang w:val="en-US"/>
        </w:rPr>
        <w:t>initial resistance into acceptance and, ultimately, long</w:t>
      </w:r>
      <w:r w:rsidRPr="00011BE2">
        <w:rPr>
          <w:sz w:val="24"/>
          <w:szCs w:val="24"/>
          <w:lang w:val="en-US"/>
        </w:rPr>
        <w:noBreakHyphen/>
        <w:t>term resonance.</w:t>
      </w:r>
    </w:p>
    <w:p w14:paraId="6A243BC4" w14:textId="5D0CCA67" w:rsidR="00683FF9" w:rsidRPr="00011BE2" w:rsidRDefault="00683FF9" w:rsidP="00A33C0D">
      <w:pPr>
        <w:ind w:left="283" w:right="397"/>
        <w:jc w:val="center"/>
        <w:rPr>
          <w:sz w:val="24"/>
          <w:szCs w:val="24"/>
          <w:lang w:val="en-GB"/>
        </w:rPr>
      </w:pPr>
      <w:r w:rsidRPr="00011BE2">
        <w:rPr>
          <w:b/>
          <w:bCs/>
          <w:sz w:val="24"/>
          <w:szCs w:val="24"/>
          <w:lang w:val="en-GB"/>
        </w:rPr>
        <w:t>We</w:t>
      </w:r>
      <w:r w:rsidR="009E240C" w:rsidRPr="00011BE2">
        <w:rPr>
          <w:b/>
          <w:bCs/>
          <w:sz w:val="24"/>
          <w:szCs w:val="24"/>
          <w:lang w:val="en-GB"/>
        </w:rPr>
        <w:t xml:space="preserve"> wi</w:t>
      </w:r>
      <w:r w:rsidRPr="00011BE2">
        <w:rPr>
          <w:b/>
          <w:bCs/>
          <w:sz w:val="24"/>
          <w:szCs w:val="24"/>
          <w:lang w:val="en-GB"/>
        </w:rPr>
        <w:t>ll explore:</w:t>
      </w:r>
    </w:p>
    <w:p w14:paraId="12FED2F2" w14:textId="5E14A40A" w:rsidR="00B55921" w:rsidRPr="00011BE2" w:rsidRDefault="00B55921" w:rsidP="00A33C0D">
      <w:pPr>
        <w:numPr>
          <w:ilvl w:val="0"/>
          <w:numId w:val="1"/>
        </w:numPr>
        <w:ind w:left="283" w:right="397"/>
        <w:jc w:val="center"/>
        <w:rPr>
          <w:b/>
          <w:bCs/>
          <w:sz w:val="24"/>
          <w:szCs w:val="24"/>
          <w:lang w:val="en-GB"/>
        </w:rPr>
      </w:pPr>
      <w:r w:rsidRPr="00011BE2">
        <w:rPr>
          <w:b/>
          <w:bCs/>
          <w:sz w:val="24"/>
          <w:szCs w:val="24"/>
          <w:lang w:val="en-GB"/>
        </w:rPr>
        <w:t>Strateg</w:t>
      </w:r>
      <w:r w:rsidR="00705E62" w:rsidRPr="00011BE2">
        <w:rPr>
          <w:b/>
          <w:bCs/>
          <w:sz w:val="24"/>
          <w:szCs w:val="24"/>
          <w:lang w:val="en-GB"/>
        </w:rPr>
        <w:t>ies</w:t>
      </w:r>
    </w:p>
    <w:p w14:paraId="0B15AF8A" w14:textId="515A5F17" w:rsidR="00683FF9" w:rsidRPr="00011BE2" w:rsidRDefault="00683FF9" w:rsidP="00A33C0D">
      <w:pPr>
        <w:numPr>
          <w:ilvl w:val="0"/>
          <w:numId w:val="1"/>
        </w:numPr>
        <w:ind w:left="283" w:right="397"/>
        <w:jc w:val="center"/>
        <w:rPr>
          <w:sz w:val="24"/>
          <w:szCs w:val="24"/>
          <w:lang w:val="en-GB"/>
        </w:rPr>
      </w:pPr>
      <w:r w:rsidRPr="00011BE2">
        <w:rPr>
          <w:b/>
          <w:bCs/>
          <w:sz w:val="24"/>
          <w:szCs w:val="24"/>
          <w:lang w:val="en-GB"/>
        </w:rPr>
        <w:t>Who</w:t>
      </w:r>
      <w:r w:rsidRPr="00011BE2">
        <w:rPr>
          <w:sz w:val="24"/>
          <w:szCs w:val="24"/>
          <w:lang w:val="en-GB"/>
        </w:rPr>
        <w:t xml:space="preserve"> we communicated with</w:t>
      </w:r>
    </w:p>
    <w:p w14:paraId="59FBF2BC" w14:textId="77777777" w:rsidR="00683FF9" w:rsidRPr="00011BE2" w:rsidRDefault="00683FF9" w:rsidP="00A33C0D">
      <w:pPr>
        <w:numPr>
          <w:ilvl w:val="0"/>
          <w:numId w:val="1"/>
        </w:numPr>
        <w:ind w:left="283" w:right="397"/>
        <w:jc w:val="center"/>
        <w:rPr>
          <w:sz w:val="24"/>
          <w:szCs w:val="24"/>
          <w:lang w:val="en-GB"/>
        </w:rPr>
      </w:pPr>
      <w:r w:rsidRPr="00011BE2">
        <w:rPr>
          <w:b/>
          <w:bCs/>
          <w:sz w:val="24"/>
          <w:szCs w:val="24"/>
          <w:lang w:val="en-GB"/>
        </w:rPr>
        <w:t>How</w:t>
      </w:r>
      <w:r w:rsidRPr="00011BE2">
        <w:rPr>
          <w:sz w:val="24"/>
          <w:szCs w:val="24"/>
          <w:lang w:val="en-GB"/>
        </w:rPr>
        <w:t xml:space="preserve"> we engaged and involved stakeholders</w:t>
      </w:r>
    </w:p>
    <w:p w14:paraId="319BF994" w14:textId="77777777" w:rsidR="00683FF9" w:rsidRPr="00011BE2" w:rsidRDefault="00683FF9" w:rsidP="00A33C0D">
      <w:pPr>
        <w:numPr>
          <w:ilvl w:val="0"/>
          <w:numId w:val="1"/>
        </w:numPr>
        <w:ind w:left="283" w:right="397"/>
        <w:jc w:val="center"/>
        <w:rPr>
          <w:sz w:val="24"/>
          <w:szCs w:val="24"/>
          <w:lang w:val="en-GB"/>
        </w:rPr>
      </w:pPr>
      <w:r w:rsidRPr="00011BE2">
        <w:rPr>
          <w:b/>
          <w:bCs/>
          <w:sz w:val="24"/>
          <w:szCs w:val="24"/>
          <w:lang w:val="en-GB"/>
        </w:rPr>
        <w:t>What</w:t>
      </w:r>
      <w:r w:rsidRPr="00011BE2">
        <w:rPr>
          <w:sz w:val="24"/>
          <w:szCs w:val="24"/>
          <w:lang w:val="en-GB"/>
        </w:rPr>
        <w:t xml:space="preserve"> we learned — and the key factors behind our communication success</w:t>
      </w:r>
    </w:p>
    <w:p w14:paraId="49D02FBE" w14:textId="0B0829F2" w:rsidR="00567D49" w:rsidRPr="00011BE2" w:rsidRDefault="00EE1E21" w:rsidP="00A33C0D">
      <w:pPr>
        <w:ind w:left="283" w:right="397"/>
        <w:jc w:val="center"/>
        <w:rPr>
          <w:sz w:val="24"/>
          <w:szCs w:val="24"/>
          <w:lang w:val="en-GB"/>
        </w:rPr>
      </w:pPr>
      <w:r w:rsidRPr="00011BE2">
        <w:rPr>
          <w:sz w:val="24"/>
          <w:szCs w:val="24"/>
          <w:lang w:val="en-GB"/>
        </w:rPr>
        <w:t xml:space="preserve">You’ll also hear from the former Mayor of the Municipality of </w:t>
      </w:r>
      <w:proofErr w:type="spellStart"/>
      <w:r w:rsidRPr="00011BE2">
        <w:rPr>
          <w:sz w:val="24"/>
          <w:szCs w:val="24"/>
          <w:lang w:val="en-GB"/>
        </w:rPr>
        <w:t>Östhammar</w:t>
      </w:r>
      <w:proofErr w:type="spellEnd"/>
      <w:r w:rsidRPr="00011BE2">
        <w:rPr>
          <w:sz w:val="24"/>
          <w:szCs w:val="24"/>
          <w:lang w:val="en-GB"/>
        </w:rPr>
        <w:t>, who will share the municipality’s perspective on SKB’s work.</w:t>
      </w:r>
      <w:r w:rsidRPr="00011BE2">
        <w:rPr>
          <w:b/>
          <w:bCs/>
          <w:sz w:val="24"/>
          <w:szCs w:val="24"/>
          <w:lang w:val="en-GB"/>
        </w:rPr>
        <w:t xml:space="preserve"> </w:t>
      </w:r>
      <w:r w:rsidRPr="00011BE2">
        <w:rPr>
          <w:sz w:val="24"/>
          <w:szCs w:val="24"/>
          <w:lang w:val="en-GB"/>
        </w:rPr>
        <w:t>He will reflect on how the municipality engaged with residents and other stakeholders throughout the process, and how trust and transparency were built over time.</w:t>
      </w:r>
    </w:p>
    <w:p w14:paraId="63DE9E5F" w14:textId="17C8654F" w:rsidR="00387463" w:rsidRPr="00011BE2" w:rsidRDefault="007E014D" w:rsidP="00A33C0D">
      <w:pPr>
        <w:ind w:left="283" w:right="397"/>
        <w:jc w:val="center"/>
        <w:rPr>
          <w:sz w:val="40"/>
          <w:szCs w:val="40"/>
          <w:lang w:val="en-GB"/>
        </w:rPr>
      </w:pPr>
      <w:r w:rsidRPr="00011BE2">
        <w:rPr>
          <w:sz w:val="40"/>
          <w:szCs w:val="40"/>
          <w:lang w:val="en-GB"/>
        </w:rPr>
        <w:t>Online course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86"/>
        <w:gridCol w:w="4082"/>
        <w:gridCol w:w="1924"/>
        <w:gridCol w:w="3622"/>
      </w:tblGrid>
      <w:tr w:rsidR="00387463" w14:paraId="21937C6D" w14:textId="77777777" w:rsidTr="00C63432">
        <w:tc>
          <w:tcPr>
            <w:tcW w:w="1786" w:type="dxa"/>
          </w:tcPr>
          <w:p w14:paraId="1732F7C6" w14:textId="516B4BC3" w:rsidR="00387463" w:rsidRPr="00C63432" w:rsidRDefault="00387463" w:rsidP="00A33C0D">
            <w:pPr>
              <w:ind w:left="283" w:right="397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C63432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4082" w:type="dxa"/>
          </w:tcPr>
          <w:p w14:paraId="1958250C" w14:textId="3EC734F7" w:rsidR="00387463" w:rsidRPr="00C63432" w:rsidRDefault="00B55921" w:rsidP="00A33C0D">
            <w:pPr>
              <w:ind w:left="283" w:right="397"/>
              <w:rPr>
                <w:color w:val="000000" w:themeColor="text1"/>
                <w:sz w:val="24"/>
                <w:szCs w:val="24"/>
                <w:lang w:val="en-GB"/>
              </w:rPr>
            </w:pPr>
            <w:r w:rsidRPr="00C63432">
              <w:rPr>
                <w:color w:val="000000" w:themeColor="text1"/>
                <w:sz w:val="24"/>
                <w:szCs w:val="24"/>
                <w:lang w:val="en-GB"/>
              </w:rPr>
              <w:t xml:space="preserve">March 18 </w:t>
            </w:r>
            <w:r w:rsidR="009E240C" w:rsidRPr="00C63432">
              <w:rPr>
                <w:color w:val="000000" w:themeColor="text1"/>
                <w:sz w:val="24"/>
                <w:szCs w:val="24"/>
                <w:lang w:val="en-GB"/>
              </w:rPr>
              <w:t>–</w:t>
            </w:r>
            <w:r w:rsidRPr="00C63432">
              <w:rPr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E240C" w:rsidRPr="00C63432">
              <w:rPr>
                <w:color w:val="000000" w:themeColor="text1"/>
                <w:sz w:val="24"/>
                <w:szCs w:val="24"/>
                <w:lang w:val="en-GB"/>
              </w:rPr>
              <w:t>April 29, 2026</w:t>
            </w:r>
          </w:p>
        </w:tc>
        <w:tc>
          <w:tcPr>
            <w:tcW w:w="1924" w:type="dxa"/>
          </w:tcPr>
          <w:p w14:paraId="65920716" w14:textId="29E8AD06" w:rsidR="00387463" w:rsidRPr="00C63432" w:rsidRDefault="00387463" w:rsidP="00A33C0D">
            <w:pPr>
              <w:ind w:left="283" w:right="397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C63432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Price</w:t>
            </w:r>
          </w:p>
        </w:tc>
        <w:tc>
          <w:tcPr>
            <w:tcW w:w="3622" w:type="dxa"/>
          </w:tcPr>
          <w:p w14:paraId="2E26CD01" w14:textId="0F4E8878" w:rsidR="00387463" w:rsidRPr="00C63432" w:rsidRDefault="00567D49" w:rsidP="00A33C0D">
            <w:pPr>
              <w:ind w:left="283" w:right="397"/>
              <w:rPr>
                <w:color w:val="000000" w:themeColor="text1"/>
                <w:sz w:val="24"/>
                <w:szCs w:val="24"/>
                <w:lang w:val="en-GB"/>
              </w:rPr>
            </w:pPr>
            <w:r w:rsidRPr="00C63432">
              <w:rPr>
                <w:color w:val="000000" w:themeColor="text1"/>
                <w:sz w:val="24"/>
                <w:szCs w:val="24"/>
                <w:lang w:val="en-GB"/>
              </w:rPr>
              <w:t>EUR 2</w:t>
            </w:r>
            <w:r w:rsidR="005E37D0">
              <w:rPr>
                <w:color w:val="000000" w:themeColor="text1"/>
                <w:sz w:val="24"/>
                <w:szCs w:val="24"/>
                <w:lang w:val="en-GB"/>
              </w:rPr>
              <w:t>3</w:t>
            </w:r>
            <w:r w:rsidRPr="00C63432">
              <w:rPr>
                <w:color w:val="000000" w:themeColor="text1"/>
                <w:sz w:val="24"/>
                <w:szCs w:val="24"/>
                <w:lang w:val="en-GB"/>
              </w:rPr>
              <w:t>00</w:t>
            </w:r>
          </w:p>
        </w:tc>
      </w:tr>
      <w:tr w:rsidR="00C63432" w:rsidRPr="00AC4952" w14:paraId="7E6A971E" w14:textId="77777777" w:rsidTr="00C63432">
        <w:tc>
          <w:tcPr>
            <w:tcW w:w="1786" w:type="dxa"/>
          </w:tcPr>
          <w:p w14:paraId="32192C01" w14:textId="3C44A4A6" w:rsidR="00387463" w:rsidRPr="00C63432" w:rsidRDefault="00387463" w:rsidP="00A33C0D">
            <w:pPr>
              <w:ind w:left="283" w:right="397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C63432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Content</w:t>
            </w:r>
          </w:p>
        </w:tc>
        <w:tc>
          <w:tcPr>
            <w:tcW w:w="4082" w:type="dxa"/>
          </w:tcPr>
          <w:p w14:paraId="0AB9E401" w14:textId="2629908D" w:rsidR="00387463" w:rsidRPr="00C63432" w:rsidRDefault="009E240C" w:rsidP="00A33C0D">
            <w:pPr>
              <w:ind w:left="283" w:right="397"/>
              <w:rPr>
                <w:color w:val="000000" w:themeColor="text1"/>
                <w:sz w:val="24"/>
                <w:szCs w:val="24"/>
                <w:lang w:val="en-GB"/>
              </w:rPr>
            </w:pPr>
            <w:r w:rsidRPr="00C63432">
              <w:rPr>
                <w:color w:val="000000" w:themeColor="text1"/>
                <w:sz w:val="24"/>
                <w:szCs w:val="24"/>
                <w:lang w:val="en-US"/>
              </w:rPr>
              <w:t>9 p</w:t>
            </w:r>
            <w:r w:rsidR="00387463" w:rsidRPr="00C63432">
              <w:rPr>
                <w:color w:val="000000" w:themeColor="text1"/>
                <w:sz w:val="24"/>
                <w:szCs w:val="24"/>
                <w:lang w:val="en-US"/>
              </w:rPr>
              <w:t xml:space="preserve">re-recorded presentation modules and possibility to </w:t>
            </w:r>
            <w:r w:rsidR="00B55921" w:rsidRPr="00C63432">
              <w:rPr>
                <w:color w:val="000000" w:themeColor="text1"/>
                <w:sz w:val="24"/>
                <w:szCs w:val="24"/>
                <w:lang w:val="en-US"/>
              </w:rPr>
              <w:t>raise</w:t>
            </w:r>
            <w:r w:rsidR="00387463" w:rsidRPr="00C63432">
              <w:rPr>
                <w:color w:val="000000" w:themeColor="text1"/>
                <w:sz w:val="24"/>
                <w:szCs w:val="24"/>
                <w:lang w:val="en-US"/>
              </w:rPr>
              <w:t xml:space="preserve"> questions to SKB experts. Opening and closing webinars, as well as </w:t>
            </w:r>
            <w:r w:rsidRPr="00C63432">
              <w:rPr>
                <w:color w:val="000000" w:themeColor="text1"/>
                <w:sz w:val="24"/>
                <w:szCs w:val="24"/>
                <w:lang w:val="en-US"/>
              </w:rPr>
              <w:t>two</w:t>
            </w:r>
            <w:r w:rsidR="00387463" w:rsidRPr="00C63432">
              <w:rPr>
                <w:color w:val="000000" w:themeColor="text1"/>
                <w:sz w:val="24"/>
                <w:szCs w:val="24"/>
                <w:lang w:val="en-US"/>
              </w:rPr>
              <w:t xml:space="preserve"> intermediate Q&amp;A webinars.</w:t>
            </w:r>
          </w:p>
        </w:tc>
        <w:tc>
          <w:tcPr>
            <w:tcW w:w="1924" w:type="dxa"/>
          </w:tcPr>
          <w:p w14:paraId="186CB256" w14:textId="2FE46289" w:rsidR="00387463" w:rsidRPr="00C63432" w:rsidRDefault="00387463" w:rsidP="00A33C0D">
            <w:pPr>
              <w:ind w:left="283" w:right="397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C63432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Register</w:t>
            </w:r>
          </w:p>
        </w:tc>
        <w:tc>
          <w:tcPr>
            <w:tcW w:w="3622" w:type="dxa"/>
          </w:tcPr>
          <w:p w14:paraId="1D025B05" w14:textId="2F16A58D" w:rsidR="00387463" w:rsidRPr="00C63432" w:rsidRDefault="00387463" w:rsidP="00A33C0D">
            <w:pPr>
              <w:ind w:left="283" w:right="397"/>
              <w:rPr>
                <w:color w:val="000000" w:themeColor="text1"/>
                <w:sz w:val="24"/>
                <w:szCs w:val="24"/>
                <w:lang w:val="en-US"/>
              </w:rPr>
            </w:pPr>
            <w:r w:rsidRPr="00C63432">
              <w:rPr>
                <w:color w:val="000000" w:themeColor="text1"/>
                <w:sz w:val="24"/>
                <w:szCs w:val="24"/>
                <w:lang w:val="en-US"/>
              </w:rPr>
              <w:t xml:space="preserve">Go to </w:t>
            </w:r>
            <w:hyperlink r:id="rId8" w:history="1">
              <w:r w:rsidRPr="00C63432">
                <w:rPr>
                  <w:rStyle w:val="Hyperlnk"/>
                  <w:sz w:val="24"/>
                  <w:szCs w:val="24"/>
                  <w:lang w:val="en-US"/>
                </w:rPr>
                <w:t>www.skbinternational.se</w:t>
              </w:r>
            </w:hyperlink>
            <w:r w:rsidRPr="00C63432">
              <w:rPr>
                <w:color w:val="000000" w:themeColor="text1"/>
                <w:sz w:val="24"/>
                <w:szCs w:val="24"/>
                <w:lang w:val="en-US"/>
              </w:rPr>
              <w:t xml:space="preserve">  for full course details and registration</w:t>
            </w:r>
          </w:p>
        </w:tc>
      </w:tr>
    </w:tbl>
    <w:p w14:paraId="3079B363" w14:textId="77777777" w:rsidR="00387463" w:rsidRPr="0092244E" w:rsidRDefault="00387463" w:rsidP="00A33C0D">
      <w:pPr>
        <w:ind w:left="283" w:right="397"/>
        <w:rPr>
          <w:color w:val="000000" w:themeColor="text1"/>
          <w:lang w:val="en-GB"/>
        </w:rPr>
      </w:pPr>
    </w:p>
    <w:sectPr w:rsidR="00387463" w:rsidRPr="0092244E" w:rsidSect="00A33C0D">
      <w:headerReference w:type="even" r:id="rId9"/>
      <w:headerReference w:type="default" r:id="rId10"/>
      <w:headerReference w:type="first" r:id="rId11"/>
      <w:pgSz w:w="11906" w:h="16838"/>
      <w:pgMar w:top="113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2009" w14:textId="77777777" w:rsidR="00625F0D" w:rsidRDefault="00625F0D" w:rsidP="00307A09">
      <w:pPr>
        <w:spacing w:after="0" w:line="240" w:lineRule="auto"/>
      </w:pPr>
      <w:r>
        <w:separator/>
      </w:r>
    </w:p>
  </w:endnote>
  <w:endnote w:type="continuationSeparator" w:id="0">
    <w:p w14:paraId="472839D8" w14:textId="77777777" w:rsidR="00625F0D" w:rsidRDefault="00625F0D" w:rsidP="0030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B83E" w14:textId="77777777" w:rsidR="00625F0D" w:rsidRDefault="00625F0D" w:rsidP="00307A09">
      <w:pPr>
        <w:spacing w:after="0" w:line="240" w:lineRule="auto"/>
      </w:pPr>
      <w:r>
        <w:separator/>
      </w:r>
    </w:p>
  </w:footnote>
  <w:footnote w:type="continuationSeparator" w:id="0">
    <w:p w14:paraId="2E5459EE" w14:textId="77777777" w:rsidR="00625F0D" w:rsidRDefault="00625F0D" w:rsidP="0030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709A" w14:textId="6A706BAF" w:rsidR="00307A09" w:rsidRDefault="00307A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BD83" w14:textId="75E000F2" w:rsidR="00307A09" w:rsidRDefault="00307A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5A66" w14:textId="44AE3693" w:rsidR="00307A09" w:rsidRDefault="00307A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191B"/>
    <w:multiLevelType w:val="multilevel"/>
    <w:tmpl w:val="A42E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1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E"/>
    <w:rsid w:val="00011BE2"/>
    <w:rsid w:val="000137C4"/>
    <w:rsid w:val="00051970"/>
    <w:rsid w:val="001A1E0E"/>
    <w:rsid w:val="001C1CD4"/>
    <w:rsid w:val="002F3C90"/>
    <w:rsid w:val="00307A09"/>
    <w:rsid w:val="00387463"/>
    <w:rsid w:val="003F2580"/>
    <w:rsid w:val="0043376F"/>
    <w:rsid w:val="00487828"/>
    <w:rsid w:val="005647FF"/>
    <w:rsid w:val="00567D49"/>
    <w:rsid w:val="005B044C"/>
    <w:rsid w:val="005E37D0"/>
    <w:rsid w:val="005F5482"/>
    <w:rsid w:val="00625F0D"/>
    <w:rsid w:val="00641CC9"/>
    <w:rsid w:val="00683FF9"/>
    <w:rsid w:val="00705E62"/>
    <w:rsid w:val="007820A9"/>
    <w:rsid w:val="007D7C55"/>
    <w:rsid w:val="007E014D"/>
    <w:rsid w:val="00817AAB"/>
    <w:rsid w:val="008D0126"/>
    <w:rsid w:val="0092244E"/>
    <w:rsid w:val="009E240C"/>
    <w:rsid w:val="00A251EE"/>
    <w:rsid w:val="00A33C0D"/>
    <w:rsid w:val="00AC4952"/>
    <w:rsid w:val="00B151AA"/>
    <w:rsid w:val="00B36E09"/>
    <w:rsid w:val="00B55921"/>
    <w:rsid w:val="00BD3A32"/>
    <w:rsid w:val="00C52CC2"/>
    <w:rsid w:val="00C52DE3"/>
    <w:rsid w:val="00C63432"/>
    <w:rsid w:val="00C718AE"/>
    <w:rsid w:val="00C82AE5"/>
    <w:rsid w:val="00C87830"/>
    <w:rsid w:val="00C91527"/>
    <w:rsid w:val="00D72698"/>
    <w:rsid w:val="00DF630D"/>
    <w:rsid w:val="00E05390"/>
    <w:rsid w:val="00ED6D24"/>
    <w:rsid w:val="00EE1E21"/>
    <w:rsid w:val="00F06FE0"/>
    <w:rsid w:val="00F317D7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B2330"/>
  <w15:chartTrackingRefBased/>
  <w15:docId w15:val="{1C9363D0-59CF-4FA6-8C2B-846AC32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1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1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1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1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1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1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1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1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1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1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1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1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1E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1E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1E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1E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1E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1E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1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1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1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1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1E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1E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1E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1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1E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1E0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A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1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83FF9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38746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746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0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7A09"/>
  </w:style>
  <w:style w:type="paragraph" w:styleId="Sidfot">
    <w:name w:val="footer"/>
    <w:basedOn w:val="Normal"/>
    <w:link w:val="SidfotChar"/>
    <w:uiPriority w:val="99"/>
    <w:unhideWhenUsed/>
    <w:rsid w:val="0030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binternationa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Häll</dc:creator>
  <cp:keywords/>
  <dc:description/>
  <cp:lastModifiedBy>Erik Thurner</cp:lastModifiedBy>
  <cp:revision>4</cp:revision>
  <dcterms:created xsi:type="dcterms:W3CDTF">2026-02-09T09:07:00Z</dcterms:created>
  <dcterms:modified xsi:type="dcterms:W3CDTF">2026-02-09T09:17:00Z</dcterms:modified>
</cp:coreProperties>
</file>